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2006</w:t>
      </w:r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文学基本理论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>、文学理论的基本概念、范畴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文学的性质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文学的价值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文学的功能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文学的发生、发展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马克思主义文学理论相关问题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中国当代文学理论的建构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二</w:t>
      </w:r>
      <w:r>
        <w:rPr>
          <w:rFonts w:hint="eastAsia" w:ascii="宋体" w:hAnsi="宋体"/>
          <w:sz w:val="24"/>
          <w:szCs w:val="24"/>
        </w:rPr>
        <w:t>、作家主体研究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作家与历史、时代、生活经验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作家的创作心理、思维活动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作家的创造过程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作家的艺术</w:t>
      </w:r>
      <w:r>
        <w:rPr>
          <w:rFonts w:hint="eastAsia" w:ascii="宋体" w:hAnsi="宋体"/>
          <w:sz w:val="24"/>
          <w:szCs w:val="24"/>
        </w:rPr>
        <w:t>传达方式与</w:t>
      </w:r>
      <w:r>
        <w:rPr>
          <w:rFonts w:ascii="宋体" w:hAnsi="宋体"/>
          <w:sz w:val="24"/>
          <w:szCs w:val="24"/>
        </w:rPr>
        <w:t>技巧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三、作品本体研究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文学语言研究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文学形象研究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文学的文体研究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文学的风格研究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文学的审美意蕴研究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文学的流派与思潮研究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文学的主题、人物、情节、环境等研究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四、文学接受研究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文学鉴赏的相关论说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文学接受的理论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文学接受的过程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文学接受的特征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文学接受与文学创作的互文研究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五、文学批评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文学批评的性质与任务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文学批评的标准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文学批评的模式与方法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文学批评的话语体系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六、文学理论的跨学科研究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文学与文化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文学与政治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文学与图像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文学与媒介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文学与消费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文学的跨文体研究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七、中国古代文论、西方文论、马列文论相关问题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</w:rPr>
        <w:t>八、文学理论当下热点问题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20EC3E59"/>
    <w:rsid w:val="36B32C31"/>
    <w:rsid w:val="39B1357E"/>
    <w:rsid w:val="3EAA656A"/>
    <w:rsid w:val="584601B1"/>
    <w:rsid w:val="5EAD7001"/>
    <w:rsid w:val="681F5B58"/>
    <w:rsid w:val="788C4F8F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3</TotalTime>
  <ScaleCrop>false</ScaleCrop>
  <LinksUpToDate>false</LinksUpToDate>
  <CharactersWithSpaces>1215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2016-09-11T16:23:00Z</dcterms:created>
  <dc:creator>Microsoft</dc:creator>
  <cp:lastModifiedBy>夭桃秾李</cp:lastModifiedBy>
  <dcterms:modified xsi:type="dcterms:W3CDTF">2023-12-07T08:45:35Z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